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spacing w:line="400" w:lineRule="exact"/>
        <w:jc w:val="center"/>
        <w:rPr>
          <w:rFonts w:hint="eastAsia" w:ascii="方正小标宋简体" w:hAnsi="方正小标宋简体" w:eastAsia="方正小标宋简体" w:cs="方正小标宋简体"/>
          <w:w w:val="99"/>
          <w:sz w:val="32"/>
          <w:szCs w:val="32"/>
          <w:shd w:val="clear" w:color="auto" w:fill="FFFFFF"/>
          <w:lang w:val="en-US" w:eastAsia="zh-CN"/>
        </w:rPr>
      </w:pPr>
      <w:bookmarkStart w:id="0" w:name="_GoBack"/>
      <w:r>
        <w:rPr>
          <w:rFonts w:hint="eastAsia" w:ascii="方正小标宋简体" w:hAnsi="方正小标宋简体" w:eastAsia="方正小标宋简体" w:cs="方正小标宋简体"/>
          <w:w w:val="99"/>
          <w:sz w:val="32"/>
          <w:szCs w:val="32"/>
          <w:shd w:val="clear" w:color="auto" w:fill="FFFFFF"/>
        </w:rPr>
        <w:t>《宁波</w:t>
      </w:r>
      <w:r>
        <w:rPr>
          <w:rFonts w:hint="eastAsia" w:ascii="方正小标宋简体" w:hAnsi="方正小标宋简体" w:eastAsia="方正小标宋简体" w:cs="方正小标宋简体"/>
          <w:w w:val="99"/>
          <w:sz w:val="32"/>
          <w:szCs w:val="32"/>
          <w:shd w:val="clear" w:color="auto" w:fill="FFFFFF"/>
          <w:lang w:eastAsia="zh-CN"/>
        </w:rPr>
        <w:t>市化工园区</w:t>
      </w:r>
      <w:r>
        <w:rPr>
          <w:rFonts w:hint="eastAsia" w:ascii="方正小标宋简体" w:hAnsi="方正小标宋简体" w:eastAsia="方正小标宋简体" w:cs="方正小标宋简体"/>
          <w:w w:val="99"/>
          <w:sz w:val="32"/>
          <w:szCs w:val="32"/>
          <w:shd w:val="clear" w:color="auto" w:fill="FFFFFF"/>
        </w:rPr>
        <w:t>信息化</w:t>
      </w:r>
      <w:r>
        <w:rPr>
          <w:rFonts w:hint="eastAsia" w:ascii="方正小标宋简体" w:hAnsi="方正小标宋简体" w:eastAsia="方正小标宋简体" w:cs="方正小标宋简体"/>
          <w:w w:val="99"/>
          <w:sz w:val="32"/>
          <w:szCs w:val="32"/>
          <w:shd w:val="clear" w:color="auto" w:fill="FFFFFF"/>
          <w:lang w:eastAsia="zh-CN"/>
        </w:rPr>
        <w:t>管理平台</w:t>
      </w:r>
      <w:r>
        <w:rPr>
          <w:rFonts w:hint="eastAsia" w:ascii="方正小标宋简体" w:hAnsi="方正小标宋简体" w:eastAsia="方正小标宋简体" w:cs="方正小标宋简体"/>
          <w:w w:val="99"/>
          <w:sz w:val="32"/>
          <w:szCs w:val="32"/>
          <w:shd w:val="clear" w:color="auto" w:fill="FFFFFF"/>
        </w:rPr>
        <w:t>建设指南》</w:t>
      </w:r>
      <w:r>
        <w:rPr>
          <w:rFonts w:hint="eastAsia" w:ascii="方正小标宋简体" w:hAnsi="方正小标宋简体" w:eastAsia="方正小标宋简体" w:cs="方正小标宋简体"/>
          <w:w w:val="99"/>
          <w:sz w:val="32"/>
          <w:szCs w:val="32"/>
          <w:shd w:val="clear" w:color="auto" w:fill="FFFFFF"/>
          <w:lang w:val="en-US" w:eastAsia="zh-CN"/>
        </w:rPr>
        <w:t>编制说明</w:t>
      </w:r>
    </w:p>
    <w:bookmarkEnd w:id="0"/>
    <w:p>
      <w:pPr>
        <w:pStyle w:val="44"/>
        <w:spacing w:line="400" w:lineRule="exact"/>
        <w:ind w:firstLine="554"/>
        <w:jc w:val="left"/>
        <w:rPr>
          <w:rFonts w:hint="eastAsia" w:ascii="方正小标宋简体" w:hAnsi="方正小标宋简体" w:eastAsia="方正小标宋简体" w:cs="方正小标宋简体"/>
          <w:w w:val="99"/>
          <w:sz w:val="32"/>
          <w:szCs w:val="32"/>
          <w:shd w:val="clear" w:color="auto" w:fill="FFFFFF"/>
          <w:lang w:val="en-US" w:eastAsia="zh-CN"/>
        </w:rPr>
      </w:pPr>
    </w:p>
    <w:tbl>
      <w:tblPr>
        <w:tblStyle w:val="19"/>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8"/>
        <w:gridCol w:w="4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4708" w:type="dxa"/>
          </w:tcPr>
          <w:p>
            <w:pPr>
              <w:jc w:val="left"/>
              <w:rPr>
                <w:rFonts w:ascii="仿宋" w:hAnsi="仿宋" w:eastAsia="仿宋" w:cs="仿宋_GB2312"/>
                <w:b/>
                <w:bCs/>
                <w:sz w:val="30"/>
                <w:szCs w:val="30"/>
              </w:rPr>
            </w:pPr>
            <w:r>
              <w:rPr>
                <w:rFonts w:hint="eastAsia" w:ascii="仿宋" w:hAnsi="仿宋" w:eastAsia="仿宋" w:cs="仿宋_GB2312"/>
                <w:b/>
                <w:bCs/>
                <w:sz w:val="30"/>
                <w:szCs w:val="30"/>
              </w:rPr>
              <w:t>规范条文</w:t>
            </w:r>
          </w:p>
        </w:tc>
        <w:tc>
          <w:tcPr>
            <w:tcW w:w="4708" w:type="dxa"/>
          </w:tcPr>
          <w:p>
            <w:pPr>
              <w:jc w:val="left"/>
              <w:rPr>
                <w:rFonts w:ascii="仿宋" w:hAnsi="仿宋" w:eastAsia="仿宋" w:cs="仿宋_GB2312"/>
                <w:b/>
                <w:bCs/>
                <w:sz w:val="30"/>
                <w:szCs w:val="30"/>
              </w:rPr>
            </w:pPr>
            <w:r>
              <w:rPr>
                <w:rFonts w:hint="eastAsia" w:ascii="仿宋" w:hAnsi="仿宋" w:eastAsia="仿宋" w:cs="仿宋_GB2312"/>
                <w:b/>
                <w:bCs/>
                <w:sz w:val="30"/>
                <w:szCs w:val="30"/>
              </w:rPr>
              <w:t>主要依据或参考资料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708" w:type="dxa"/>
          </w:tcPr>
          <w:p>
            <w:pPr>
              <w:jc w:val="left"/>
              <w:rPr>
                <w:rFonts w:ascii="仿宋" w:hAnsi="仿宋" w:eastAsia="仿宋"/>
                <w:sz w:val="30"/>
                <w:szCs w:val="30"/>
              </w:rPr>
            </w:pPr>
            <w:r>
              <w:rPr>
                <w:rFonts w:ascii="仿宋" w:hAnsi="仿宋" w:eastAsia="仿宋"/>
                <w:sz w:val="30"/>
                <w:szCs w:val="30"/>
              </w:rPr>
              <w:t>3.1</w:t>
            </w:r>
            <w:r>
              <w:rPr>
                <w:rFonts w:hint="eastAsia" w:ascii="仿宋" w:hAnsi="仿宋" w:eastAsia="仿宋"/>
                <w:sz w:val="30"/>
                <w:szCs w:val="30"/>
              </w:rPr>
              <w:t>工业互联网平台</w:t>
            </w:r>
          </w:p>
        </w:tc>
        <w:tc>
          <w:tcPr>
            <w:tcW w:w="4708" w:type="dxa"/>
          </w:tcPr>
          <w:p>
            <w:pPr>
              <w:jc w:val="left"/>
              <w:rPr>
                <w:rFonts w:ascii="仿宋" w:hAnsi="仿宋" w:eastAsia="仿宋"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pStyle w:val="2"/>
              <w:jc w:val="left"/>
              <w:rPr>
                <w:rFonts w:hint="eastAsia" w:ascii="仿宋" w:hAnsi="仿宋" w:eastAsia="仿宋"/>
              </w:rPr>
            </w:pPr>
            <w:r>
              <w:rPr>
                <w:rFonts w:ascii="仿宋" w:hAnsi="仿宋" w:eastAsia="仿宋"/>
              </w:rPr>
              <w:t>3.1</w:t>
            </w:r>
            <w:r>
              <w:rPr>
                <w:rFonts w:hint="eastAsia" w:ascii="仿宋" w:hAnsi="仿宋" w:eastAsia="仿宋"/>
              </w:rPr>
              <w:t>工业互联网平台</w:t>
            </w:r>
          </w:p>
          <w:p>
            <w:pPr>
              <w:pStyle w:val="2"/>
              <w:jc w:val="left"/>
              <w:rPr>
                <w:rFonts w:hint="eastAsia" w:ascii="仿宋" w:hAnsi="仿宋" w:eastAsia="仿宋"/>
              </w:rPr>
            </w:pPr>
          </w:p>
        </w:tc>
        <w:tc>
          <w:tcPr>
            <w:tcW w:w="4708" w:type="dxa"/>
          </w:tcPr>
          <w:p>
            <w:pPr>
              <w:jc w:val="left"/>
              <w:rPr>
                <w:rFonts w:hint="eastAsia" w:ascii="仿宋" w:hAnsi="仿宋" w:eastAsia="仿宋" w:cs="仿宋_GB2312"/>
                <w:sz w:val="24"/>
              </w:rPr>
            </w:pPr>
            <w:r>
              <w:rPr>
                <w:rFonts w:hint="eastAsia" w:ascii="仿宋" w:hAnsi="仿宋" w:eastAsia="仿宋" w:cs="仿宋_GB2312"/>
                <w:sz w:val="24"/>
              </w:rPr>
              <w:t>《“工业互联网+安全生产”行动计划（2021-2023年）》</w:t>
            </w:r>
          </w:p>
          <w:p>
            <w:pPr>
              <w:pStyle w:val="2"/>
              <w:jc w:val="left"/>
              <w:rPr>
                <w:rFonts w:hint="eastAsia" w:ascii="仿宋" w:hAnsi="仿宋" w:eastAsia="仿宋"/>
                <w:color w:val="000000"/>
                <w:szCs w:val="21"/>
              </w:rPr>
            </w:pPr>
            <w:r>
              <w:rPr>
                <w:rFonts w:hint="eastAsia" w:ascii="仿宋" w:hAnsi="仿宋" w:eastAsia="仿宋"/>
                <w:color w:val="000000"/>
                <w:szCs w:val="21"/>
              </w:rPr>
              <w:t>“工业互联网+安全生产”是通过工业互联网在安全生产中的融合应用，增强工业安全生产的感知、监测、预警、处置和评估能力，加速安全生产从静态分析向动态感知、事后应急向事前预防、单点防控向全局联防的转变，提升工业生产本质安全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708" w:type="dxa"/>
          </w:tcPr>
          <w:p>
            <w:pPr>
              <w:jc w:val="left"/>
              <w:rPr>
                <w:rFonts w:hint="eastAsia" w:ascii="仿宋" w:hAnsi="仿宋" w:eastAsia="仿宋"/>
              </w:rPr>
            </w:pPr>
            <w:r>
              <w:rPr>
                <w:rFonts w:hint="eastAsia" w:ascii="仿宋" w:hAnsi="仿宋" w:eastAsia="仿宋"/>
                <w:sz w:val="30"/>
                <w:szCs w:val="30"/>
              </w:rPr>
              <w:t>3</w:t>
            </w:r>
            <w:r>
              <w:rPr>
                <w:rFonts w:ascii="仿宋" w:hAnsi="仿宋" w:eastAsia="仿宋"/>
                <w:sz w:val="30"/>
                <w:szCs w:val="30"/>
              </w:rPr>
              <w:t>.2</w:t>
            </w:r>
            <w:r>
              <w:rPr>
                <w:rFonts w:hint="eastAsia" w:ascii="仿宋" w:hAnsi="仿宋" w:eastAsia="仿宋"/>
                <w:sz w:val="30"/>
                <w:szCs w:val="30"/>
              </w:rPr>
              <w:t>数字孪生</w:t>
            </w:r>
          </w:p>
        </w:tc>
        <w:tc>
          <w:tcPr>
            <w:tcW w:w="4708" w:type="dxa"/>
          </w:tcPr>
          <w:p>
            <w:pPr>
              <w:jc w:val="left"/>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pStyle w:val="2"/>
              <w:jc w:val="left"/>
              <w:rPr>
                <w:rFonts w:hint="eastAsia" w:ascii="仿宋" w:hAnsi="仿宋" w:eastAsia="仿宋"/>
              </w:rPr>
            </w:pPr>
            <w:r>
              <w:rPr>
                <w:rFonts w:hint="eastAsia" w:ascii="仿宋" w:hAnsi="仿宋" w:eastAsia="仿宋"/>
              </w:rPr>
              <w:t>3</w:t>
            </w:r>
            <w:r>
              <w:rPr>
                <w:rFonts w:ascii="仿宋" w:hAnsi="仿宋" w:eastAsia="仿宋"/>
              </w:rPr>
              <w:t>.2</w:t>
            </w:r>
            <w:r>
              <w:rPr>
                <w:rFonts w:hint="eastAsia" w:ascii="仿宋" w:hAnsi="仿宋" w:eastAsia="仿宋"/>
              </w:rPr>
              <w:t>数字孪生</w:t>
            </w:r>
          </w:p>
        </w:tc>
        <w:tc>
          <w:tcPr>
            <w:tcW w:w="4708" w:type="dxa"/>
          </w:tcPr>
          <w:p>
            <w:pPr>
              <w:jc w:val="left"/>
              <w:rPr>
                <w:rFonts w:hint="eastAsia" w:ascii="仿宋" w:hAnsi="仿宋" w:eastAsia="仿宋" w:cs="仿宋_GB2312"/>
                <w:sz w:val="24"/>
              </w:rPr>
            </w:pPr>
            <w:r>
              <w:rPr>
                <w:rFonts w:hint="eastAsia" w:ascii="仿宋" w:hAnsi="仿宋" w:eastAsia="仿宋" w:cs="仿宋_GB2312"/>
                <w:sz w:val="24"/>
              </w:rPr>
              <w:t>《“工业互联网+安全生产”行动计划（2021-2023年）》</w:t>
            </w:r>
          </w:p>
          <w:p>
            <w:pPr>
              <w:jc w:val="left"/>
              <w:rPr>
                <w:rFonts w:ascii="仿宋" w:hAnsi="仿宋" w:eastAsia="仿宋" w:cs="仿宋_GB2312"/>
                <w:sz w:val="24"/>
              </w:rPr>
            </w:pPr>
            <w:r>
              <w:rPr>
                <w:rFonts w:hint="eastAsia" w:ascii="仿宋" w:hAnsi="仿宋" w:eastAsia="仿宋" w:cs="仿宋_GB2312"/>
                <w:sz w:val="24"/>
              </w:rPr>
              <w:t>（三）深化工业互联网和安全生产的融合应用</w:t>
            </w:r>
          </w:p>
          <w:p>
            <w:pPr>
              <w:jc w:val="left"/>
              <w:rPr>
                <w:rFonts w:hint="eastAsia" w:ascii="仿宋" w:hAnsi="仿宋" w:eastAsia="仿宋" w:cs="仿宋_GB2312"/>
                <w:sz w:val="24"/>
              </w:rPr>
            </w:pPr>
            <w:r>
              <w:rPr>
                <w:rFonts w:hint="eastAsia" w:ascii="仿宋" w:hAnsi="仿宋" w:eastAsia="仿宋" w:cs="仿宋_GB2312"/>
                <w:sz w:val="24"/>
              </w:rPr>
              <w:t>8. 深化数字化管理应用。支持工业企业、重点园区在工业互联网建设中，将数字孪生技术应用于安全生产管理。实现关键设备全生命周期、生产工艺全流程的数字化、可视化、透明化，提升企业、园区安全生产数据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08" w:type="dxa"/>
          </w:tcPr>
          <w:p>
            <w:pPr>
              <w:jc w:val="left"/>
              <w:rPr>
                <w:rFonts w:hint="eastAsia" w:ascii="仿宋" w:hAnsi="仿宋" w:eastAsia="仿宋"/>
              </w:rPr>
            </w:pPr>
            <w:r>
              <w:rPr>
                <w:rFonts w:hint="eastAsia" w:ascii="仿宋" w:hAnsi="仿宋" w:eastAsia="仿宋"/>
                <w:sz w:val="30"/>
                <w:szCs w:val="30"/>
              </w:rPr>
              <w:t>3</w:t>
            </w:r>
            <w:r>
              <w:rPr>
                <w:rFonts w:ascii="仿宋" w:hAnsi="仿宋" w:eastAsia="仿宋"/>
                <w:sz w:val="30"/>
                <w:szCs w:val="30"/>
              </w:rPr>
              <w:t>.4</w:t>
            </w:r>
            <w:r>
              <w:rPr>
                <w:rFonts w:hint="eastAsia" w:ascii="仿宋" w:hAnsi="仿宋" w:eastAsia="仿宋"/>
                <w:sz w:val="30"/>
                <w:szCs w:val="30"/>
              </w:rPr>
              <w:t>安全生产</w:t>
            </w:r>
          </w:p>
        </w:tc>
        <w:tc>
          <w:tcPr>
            <w:tcW w:w="4708" w:type="dxa"/>
          </w:tcPr>
          <w:p>
            <w:pPr>
              <w:jc w:val="left"/>
              <w:rPr>
                <w:rFonts w:hint="eastAsia" w:ascii="仿宋" w:hAnsi="仿宋" w:eastAsia="仿宋"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08" w:type="dxa"/>
          </w:tcPr>
          <w:p>
            <w:pPr>
              <w:pStyle w:val="2"/>
              <w:jc w:val="left"/>
              <w:rPr>
                <w:rFonts w:hint="eastAsia" w:ascii="仿宋" w:hAnsi="仿宋" w:eastAsia="仿宋"/>
                <w:sz w:val="30"/>
                <w:szCs w:val="30"/>
              </w:rPr>
            </w:pPr>
            <w:r>
              <w:rPr>
                <w:rFonts w:hint="eastAsia" w:ascii="仿宋" w:hAnsi="仿宋" w:eastAsia="仿宋"/>
              </w:rPr>
              <w:t>3</w:t>
            </w:r>
            <w:r>
              <w:rPr>
                <w:rFonts w:ascii="仿宋" w:hAnsi="仿宋" w:eastAsia="仿宋"/>
              </w:rPr>
              <w:t>.4.1</w:t>
            </w:r>
            <w:r>
              <w:rPr>
                <w:rFonts w:hint="eastAsia" w:ascii="仿宋" w:hAnsi="仿宋" w:eastAsia="仿宋"/>
              </w:rPr>
              <w:t>安全生产监管</w:t>
            </w:r>
          </w:p>
        </w:tc>
        <w:tc>
          <w:tcPr>
            <w:tcW w:w="4708" w:type="dxa"/>
          </w:tcPr>
          <w:p>
            <w:pPr>
              <w:jc w:val="left"/>
              <w:rPr>
                <w:rFonts w:ascii="仿宋" w:hAnsi="仿宋" w:eastAsia="仿宋" w:cs="仿宋_GB2312"/>
                <w:sz w:val="24"/>
              </w:rPr>
            </w:pPr>
            <w:r>
              <w:rPr>
                <w:rFonts w:hint="eastAsia" w:ascii="仿宋" w:hAnsi="仿宋" w:eastAsia="仿宋" w:cs="仿宋_GB2312"/>
                <w:sz w:val="24"/>
              </w:rPr>
              <w:t>浙江省应急管理“十四五”规划(征求意见稿)</w:t>
            </w:r>
          </w:p>
          <w:p>
            <w:pPr>
              <w:pStyle w:val="2"/>
              <w:rPr>
                <w:rFonts w:hint="eastAsia" w:ascii="仿宋" w:hAnsi="仿宋" w:eastAsia="仿宋" w:cs="仿宋_GB2312"/>
                <w:sz w:val="24"/>
              </w:rPr>
            </w:pPr>
            <w:r>
              <w:rPr>
                <w:rFonts w:hint="eastAsia" w:ascii="仿宋" w:hAnsi="仿宋" w:eastAsia="仿宋" w:cs="仿宋_GB2312"/>
                <w:sz w:val="24"/>
              </w:rPr>
              <w:t>（二）应急管理数字化改革工程</w:t>
            </w:r>
          </w:p>
          <w:p>
            <w:pPr>
              <w:jc w:val="left"/>
              <w:rPr>
                <w:rFonts w:hint="eastAsia" w:ascii="仿宋" w:hAnsi="仿宋" w:eastAsia="仿宋" w:cs="仿宋_GB2312"/>
                <w:sz w:val="24"/>
              </w:rPr>
            </w:pPr>
            <w:r>
              <w:rPr>
                <w:rFonts w:hint="eastAsia" w:ascii="仿宋" w:hAnsi="仿宋" w:eastAsia="仿宋" w:cs="仿宋_GB2312"/>
                <w:sz w:val="24"/>
              </w:rPr>
              <w:t>5．深化自然灾害风险防控和应急救援平台建设。接入地质灾害、海洋灾害、气象灾害、水旱灾害、城市内涝、地震和森林火灾等灾害风险信息，构建自然灾害风险一张图、专题图、区域图；建立综合灾害风险评估模型、风险管控指标评价体系和管控力指数；拓展“安全码”场景运用，实现“数据共享、应用协同、场景可视、精准管控、指挥高效”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pStyle w:val="2"/>
              <w:jc w:val="left"/>
              <w:rPr>
                <w:rFonts w:hint="eastAsia" w:ascii="仿宋" w:hAnsi="仿宋" w:eastAsia="仿宋"/>
              </w:rPr>
            </w:pPr>
            <w:r>
              <w:rPr>
                <w:rFonts w:hint="eastAsia" w:ascii="仿宋" w:hAnsi="仿宋" w:eastAsia="仿宋"/>
              </w:rPr>
              <w:t>3</w:t>
            </w:r>
            <w:r>
              <w:rPr>
                <w:rFonts w:ascii="仿宋" w:hAnsi="仿宋" w:eastAsia="仿宋"/>
              </w:rPr>
              <w:t>.4.2</w:t>
            </w:r>
            <w:r>
              <w:rPr>
                <w:rFonts w:hint="eastAsia" w:ascii="仿宋" w:hAnsi="仿宋" w:eastAsia="仿宋"/>
              </w:rPr>
              <w:t>风险分级管控</w:t>
            </w:r>
          </w:p>
        </w:tc>
        <w:tc>
          <w:tcPr>
            <w:tcW w:w="4708" w:type="dxa"/>
          </w:tcPr>
          <w:p>
            <w:pPr>
              <w:jc w:val="left"/>
              <w:rPr>
                <w:rFonts w:ascii="仿宋" w:hAnsi="仿宋" w:eastAsia="仿宋" w:cs="仿宋_GB2312"/>
                <w:sz w:val="24"/>
              </w:rPr>
            </w:pPr>
            <w:r>
              <w:rPr>
                <w:rFonts w:hint="eastAsia" w:ascii="仿宋" w:hAnsi="仿宋" w:eastAsia="仿宋" w:cs="仿宋_GB2312"/>
                <w:sz w:val="24"/>
              </w:rPr>
              <w:t>《浙江省应急管理厅关于印发浙江省企业安全风险管控体系建设实施指南（试行）的通知》</w:t>
            </w:r>
          </w:p>
          <w:p>
            <w:pPr>
              <w:pStyle w:val="2"/>
              <w:rPr>
                <w:rFonts w:hint="eastAsia" w:ascii="仿宋" w:hAnsi="仿宋" w:eastAsia="仿宋" w:cs="仿宋_GB2312"/>
                <w:sz w:val="24"/>
              </w:rPr>
            </w:pPr>
            <w:r>
              <w:rPr>
                <w:rFonts w:hint="eastAsia" w:ascii="仿宋" w:hAnsi="仿宋" w:eastAsia="仿宋" w:cs="仿宋_GB2312"/>
                <w:sz w:val="24"/>
              </w:rPr>
              <w:t>四、重点工程</w:t>
            </w:r>
          </w:p>
          <w:p>
            <w:pPr>
              <w:jc w:val="left"/>
              <w:rPr>
                <w:rFonts w:hint="eastAsia" w:ascii="仿宋" w:hAnsi="仿宋" w:eastAsia="仿宋" w:cs="仿宋_GB2312"/>
                <w:sz w:val="24"/>
              </w:rPr>
            </w:pPr>
            <w:r>
              <w:rPr>
                <w:rFonts w:hint="eastAsia" w:ascii="仿宋" w:hAnsi="仿宋" w:eastAsia="仿宋" w:cs="仿宋_GB2312"/>
                <w:sz w:val="24"/>
              </w:rPr>
              <w:t>三、坚持体系融合、突出工作实效</w:t>
            </w:r>
          </w:p>
          <w:p>
            <w:pPr>
              <w:jc w:val="left"/>
              <w:rPr>
                <w:rFonts w:hint="eastAsia" w:ascii="仿宋" w:hAnsi="仿宋" w:eastAsia="仿宋" w:cs="仿宋_GB2312"/>
                <w:sz w:val="24"/>
              </w:rPr>
            </w:pPr>
            <w:r>
              <w:rPr>
                <w:rFonts w:hint="eastAsia" w:ascii="仿宋" w:hAnsi="仿宋" w:eastAsia="仿宋" w:cs="仿宋_GB2312"/>
                <w:sz w:val="24"/>
              </w:rPr>
              <w:t>各地要统筹兼顾，加强与现有安全管理体系之间的融合。已建立安全生产标准化体系、双重预防机制等安全管理体系并运行良好的企业，“安全风险管控”要素达到或者优于《实施指南》要求的，继续按照现有体系运行；企业现行安全管理体系不够完善，“安全风险管控”要素未达到《实施指南》要求的，要在现行安全管理体系中，补充完善相关“安全风险管控”要素，并组织好实施；其他企业，应按照《实施指南》的要求，建立企业安全风险管控体系，并保持体系有效运行。要加强与安全生产数字化建设对接融合。通过企业风险管控体系建设，结合小微企业安全生产和消防安全综合整治情况，进一步摸清企业安全风险底数，以企业风险识别、分级管控的成效，为安全生产数字化建设提供支持。同时，通过安全生产数字化监管平台，督促企业有效开展安全风险管控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pStyle w:val="2"/>
              <w:jc w:val="left"/>
              <w:rPr>
                <w:rFonts w:hint="eastAsia" w:ascii="仿宋" w:hAnsi="仿宋" w:eastAsia="仿宋"/>
              </w:rPr>
            </w:pPr>
            <w:r>
              <w:rPr>
                <w:rFonts w:hint="eastAsia" w:ascii="仿宋" w:hAnsi="仿宋" w:eastAsia="仿宋"/>
              </w:rPr>
              <w:t>3</w:t>
            </w:r>
            <w:r>
              <w:rPr>
                <w:rFonts w:ascii="仿宋" w:hAnsi="仿宋" w:eastAsia="仿宋"/>
              </w:rPr>
              <w:t>.4.3</w:t>
            </w:r>
            <w:r>
              <w:rPr>
                <w:rFonts w:hint="eastAsia" w:ascii="仿宋" w:hAnsi="仿宋" w:eastAsia="仿宋"/>
              </w:rPr>
              <w:t>隐患排查治理</w:t>
            </w:r>
          </w:p>
        </w:tc>
        <w:tc>
          <w:tcPr>
            <w:tcW w:w="4708" w:type="dxa"/>
          </w:tcPr>
          <w:p>
            <w:pPr>
              <w:jc w:val="left"/>
              <w:rPr>
                <w:rFonts w:ascii="仿宋" w:hAnsi="仿宋" w:eastAsia="仿宋" w:cs="仿宋_GB2312"/>
                <w:sz w:val="24"/>
              </w:rPr>
            </w:pPr>
            <w:r>
              <w:rPr>
                <w:rFonts w:hint="eastAsia" w:ascii="仿宋" w:hAnsi="仿宋" w:eastAsia="仿宋" w:cs="仿宋_GB2312"/>
                <w:sz w:val="24"/>
              </w:rPr>
              <w:t>《浙江省应急管理厅关于印发浙江省企业安全风险管控体系建设实施指南（试行）的通知》</w:t>
            </w:r>
          </w:p>
          <w:p>
            <w:pPr>
              <w:pStyle w:val="2"/>
              <w:rPr>
                <w:rFonts w:hint="eastAsia" w:ascii="仿宋" w:hAnsi="仿宋" w:eastAsia="仿宋" w:cs="仿宋_GB2312"/>
                <w:sz w:val="24"/>
              </w:rPr>
            </w:pPr>
            <w:r>
              <w:rPr>
                <w:rFonts w:hint="eastAsia" w:ascii="仿宋" w:hAnsi="仿宋" w:eastAsia="仿宋" w:cs="仿宋_GB2312"/>
                <w:sz w:val="24"/>
              </w:rPr>
              <w:t>四、重点工程</w:t>
            </w:r>
          </w:p>
          <w:p>
            <w:pPr>
              <w:widowControl/>
              <w:jc w:val="left"/>
              <w:rPr>
                <w:rFonts w:ascii="仿宋" w:hAnsi="仿宋" w:eastAsia="仿宋" w:cs="仿宋_GB2312"/>
                <w:sz w:val="24"/>
              </w:rPr>
            </w:pPr>
            <w:r>
              <w:rPr>
                <w:rFonts w:hint="eastAsia" w:ascii="仿宋" w:hAnsi="仿宋" w:eastAsia="仿宋" w:cs="仿宋_GB2312"/>
                <w:sz w:val="24"/>
              </w:rPr>
              <w:t>（一）风险普查与隐患排查工程</w:t>
            </w:r>
          </w:p>
          <w:p>
            <w:pPr>
              <w:pStyle w:val="2"/>
              <w:rPr>
                <w:rFonts w:hint="eastAsia" w:ascii="仿宋" w:hAnsi="仿宋" w:eastAsia="仿宋"/>
              </w:rPr>
            </w:pPr>
            <w:r>
              <w:rPr>
                <w:rFonts w:hint="eastAsia" w:ascii="仿宋" w:hAnsi="仿宋" w:eastAsia="仿宋" w:cs="仿宋_GB2312"/>
                <w:sz w:val="24"/>
              </w:rPr>
              <w:t>全面实施灾害事故风险防控能力提升行动，完成自然灾害综合风险普查、企业安全生产风险调查和重点隐患排查，建立健全风险基础数据库，编制灾害事故风险区划，加强重点行业领域安全风险辨识与评估。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pStyle w:val="2"/>
              <w:jc w:val="left"/>
              <w:rPr>
                <w:rFonts w:hint="eastAsia" w:ascii="仿宋" w:hAnsi="仿宋" w:eastAsia="仿宋"/>
              </w:rPr>
            </w:pPr>
            <w:r>
              <w:rPr>
                <w:rFonts w:ascii="仿宋" w:hAnsi="仿宋" w:eastAsia="仿宋"/>
              </w:rPr>
              <w:t>3.4.4</w:t>
            </w:r>
            <w:r>
              <w:rPr>
                <w:rFonts w:hint="eastAsia" w:ascii="仿宋" w:hAnsi="仿宋" w:eastAsia="仿宋"/>
              </w:rPr>
              <w:t>特殊作业管理</w:t>
            </w:r>
          </w:p>
        </w:tc>
        <w:tc>
          <w:tcPr>
            <w:tcW w:w="4708" w:type="dxa"/>
          </w:tcPr>
          <w:p>
            <w:pPr>
              <w:jc w:val="left"/>
              <w:rPr>
                <w:rFonts w:ascii="仿宋" w:hAnsi="仿宋" w:eastAsia="仿宋" w:cs="仿宋_GB2312"/>
                <w:sz w:val="24"/>
              </w:rPr>
            </w:pPr>
            <w:r>
              <w:rPr>
                <w:rFonts w:hint="eastAsia" w:ascii="仿宋" w:hAnsi="仿宋" w:eastAsia="仿宋" w:cs="仿宋_GB2312"/>
                <w:sz w:val="24"/>
              </w:rPr>
              <w:t>应急管理部办公厅关于印发《“工业互联网+ 危化安全生产”试点建设方案》的通知</w:t>
            </w:r>
          </w:p>
          <w:p>
            <w:pPr>
              <w:pStyle w:val="2"/>
              <w:rPr>
                <w:rFonts w:hint="eastAsia"/>
              </w:rPr>
            </w:pPr>
            <w:r>
              <w:rPr>
                <w:rFonts w:hint="eastAsia"/>
              </w:rPr>
              <w:t>实现对作业人员数量、人员身份资质等方面的认证及监管；对各类人员不安全行为（如脱岗、进入危险区域等）进行识别、监测及管控；结合生产工艺设备升级，对违规操作、误操作和未授权操作等进行防范；探索基于人员行为因素的标准操作规程智能设计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jc w:val="left"/>
              <w:rPr>
                <w:rFonts w:ascii="仿宋" w:hAnsi="仿宋" w:eastAsia="仿宋"/>
              </w:rPr>
            </w:pPr>
            <w:r>
              <w:rPr>
                <w:rFonts w:hint="eastAsia" w:ascii="仿宋" w:hAnsi="仿宋" w:eastAsia="仿宋"/>
                <w:sz w:val="30"/>
                <w:szCs w:val="30"/>
              </w:rPr>
              <w:t>3</w:t>
            </w:r>
            <w:r>
              <w:rPr>
                <w:rFonts w:ascii="仿宋" w:hAnsi="仿宋" w:eastAsia="仿宋"/>
                <w:sz w:val="30"/>
                <w:szCs w:val="30"/>
              </w:rPr>
              <w:t>.5</w:t>
            </w:r>
            <w:r>
              <w:rPr>
                <w:rFonts w:hint="eastAsia" w:ascii="仿宋" w:hAnsi="仿宋" w:eastAsia="仿宋"/>
                <w:sz w:val="30"/>
                <w:szCs w:val="30"/>
              </w:rPr>
              <w:t>危化品运输管理</w:t>
            </w:r>
          </w:p>
        </w:tc>
        <w:tc>
          <w:tcPr>
            <w:tcW w:w="4708" w:type="dxa"/>
          </w:tcPr>
          <w:p>
            <w:pPr>
              <w:jc w:val="left"/>
              <w:rPr>
                <w:rFonts w:ascii="仿宋" w:hAnsi="仿宋" w:eastAsia="仿宋" w:cs="仿宋_GB2312"/>
                <w:sz w:val="24"/>
              </w:rPr>
            </w:pPr>
            <w:r>
              <w:rPr>
                <w:rFonts w:hint="eastAsia" w:ascii="仿宋" w:hAnsi="仿宋" w:eastAsia="仿宋" w:cs="仿宋_GB2312"/>
                <w:sz w:val="24"/>
              </w:rPr>
              <w:t>《浙江省人民政府办公厅关于印发浙江省危险货物道路运输安全管理办法（试行）的通知》</w:t>
            </w:r>
          </w:p>
          <w:p>
            <w:pPr>
              <w:pStyle w:val="2"/>
              <w:rPr>
                <w:rFonts w:hint="eastAsia" w:ascii="仿宋" w:hAnsi="仿宋" w:eastAsia="仿宋" w:cs="仿宋_GB2312"/>
                <w:sz w:val="24"/>
              </w:rPr>
            </w:pPr>
            <w:r>
              <w:rPr>
                <w:rFonts w:hint="eastAsia" w:ascii="仿宋" w:hAnsi="仿宋" w:eastAsia="仿宋" w:cs="仿宋_GB2312"/>
                <w:sz w:val="24"/>
              </w:rPr>
              <w:t>七、加强信息化监管</w:t>
            </w:r>
          </w:p>
          <w:p>
            <w:pPr>
              <w:pStyle w:val="2"/>
              <w:rPr>
                <w:rFonts w:hint="eastAsia" w:ascii="仿宋" w:hAnsi="仿宋" w:eastAsia="仿宋" w:cs="仿宋_GB2312"/>
                <w:sz w:val="24"/>
              </w:rPr>
            </w:pPr>
            <w:r>
              <w:rPr>
                <w:rFonts w:hint="eastAsia" w:ascii="仿宋" w:hAnsi="仿宋" w:eastAsia="仿宋" w:cs="仿宋_GB2312"/>
                <w:sz w:val="24"/>
              </w:rPr>
              <w:t>（一）完善监管平台功能。强化危险货物道路运输安全联防联控，完善省危险化学品风险防控大数据平台功能，加强对危险化学品生产、储存、运输、使用和废弃处置等环节的协同管理，实现经信、公安、生态环境、交通运输、应急管理和市场监管等部门的业务协同和数据共享。</w:t>
            </w:r>
          </w:p>
          <w:p>
            <w:pPr>
              <w:pStyle w:val="2"/>
              <w:rPr>
                <w:rFonts w:hint="eastAsia" w:ascii="仿宋" w:hAnsi="仿宋" w:eastAsia="仿宋" w:cs="仿宋_GB2312"/>
                <w:sz w:val="24"/>
              </w:rPr>
            </w:pPr>
            <w:r>
              <w:rPr>
                <w:rFonts w:hint="eastAsia" w:ascii="仿宋" w:hAnsi="仿宋" w:eastAsia="仿宋" w:cs="仿宋_GB2312"/>
                <w:sz w:val="24"/>
              </w:rPr>
              <w:t>（二）加强车辆动态监控。危险货物道路运输企业应配备车辆动态监控室（区）及符合规定的专职监控人员，建立健全动态监控管理制度，开展实时监控，监控工作不得委托第三方。鼓励第三方协助开展车辆动态监测服务，为政府部门履行监管责任和运输企业履行安全生产主体责任提供技术支撑。对未按规定接入联网联控系统、未有效执行交通违法动态信息处理制度或未按规定配备专职监控人员的，依法按《道路运输车辆动态监督管理办法》第三十六条相关规定予以处罚；对未按规定实行监控的，依法按《危险货物道路运输安全管理办法》第六十三条相关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jc w:val="left"/>
              <w:rPr>
                <w:rFonts w:hint="eastAsia" w:ascii="仿宋" w:hAnsi="仿宋" w:eastAsia="仿宋"/>
              </w:rPr>
            </w:pPr>
            <w:r>
              <w:rPr>
                <w:rFonts w:hint="eastAsia" w:ascii="仿宋" w:hAnsi="仿宋" w:eastAsia="仿宋"/>
                <w:sz w:val="30"/>
                <w:szCs w:val="30"/>
              </w:rPr>
              <w:t>3</w:t>
            </w:r>
            <w:r>
              <w:rPr>
                <w:rFonts w:ascii="仿宋" w:hAnsi="仿宋" w:eastAsia="仿宋"/>
                <w:sz w:val="30"/>
                <w:szCs w:val="30"/>
              </w:rPr>
              <w:t>.6</w:t>
            </w:r>
            <w:r>
              <w:rPr>
                <w:rFonts w:hint="eastAsia" w:ascii="仿宋" w:hAnsi="仿宋" w:eastAsia="仿宋"/>
                <w:sz w:val="30"/>
                <w:szCs w:val="30"/>
              </w:rPr>
              <w:t>应急管理</w:t>
            </w:r>
          </w:p>
        </w:tc>
        <w:tc>
          <w:tcPr>
            <w:tcW w:w="4708" w:type="dxa"/>
          </w:tcPr>
          <w:p>
            <w:pPr>
              <w:jc w:val="left"/>
              <w:rPr>
                <w:rFonts w:hint="eastAsia" w:ascii="仿宋" w:hAnsi="仿宋" w:eastAsia="仿宋" w:cs="仿宋_GB2312"/>
                <w:sz w:val="24"/>
              </w:rPr>
            </w:pPr>
            <w:r>
              <w:rPr>
                <w:rFonts w:hint="eastAsia" w:ascii="仿宋" w:hAnsi="仿宋" w:eastAsia="仿宋" w:cs="仿宋_GB2312"/>
                <w:sz w:val="24"/>
              </w:rPr>
              <w:t>浙江省应急管理“十四五”规划(征求意见稿)</w:t>
            </w:r>
          </w:p>
          <w:p>
            <w:pPr>
              <w:jc w:val="left"/>
              <w:rPr>
                <w:rFonts w:ascii="仿宋" w:hAnsi="仿宋" w:eastAsia="仿宋" w:cs="仿宋_GB2312"/>
                <w:sz w:val="24"/>
              </w:rPr>
            </w:pPr>
            <w:r>
              <w:rPr>
                <w:rFonts w:hint="eastAsia" w:ascii="仿宋" w:hAnsi="仿宋" w:eastAsia="仿宋" w:cs="仿宋_GB2312"/>
                <w:sz w:val="24"/>
              </w:rPr>
              <w:t>完善应急管理数据库。梳理各地各部门应急管理数据资源，编制数据资源目录，制定应急管理数据标准规范，依托全省公共数据共享平台，统筹规划建立数据资源共享服务体系，进一步整合应急管理数据，融合相关行业和互联网数据，建成覆盖灾害事故、管理对象、应急力量和应急资源的全要素、全生命周期管理的专题数据库。</w:t>
            </w:r>
          </w:p>
          <w:p>
            <w:pPr>
              <w:pStyle w:val="2"/>
              <w:rPr>
                <w:rFonts w:hint="eastAsia"/>
              </w:rPr>
            </w:pPr>
            <w:r>
              <w:rPr>
                <w:rFonts w:hint="eastAsia" w:ascii="仿宋" w:hAnsi="仿宋" w:eastAsia="仿宋" w:cs="仿宋_GB2312"/>
                <w:sz w:val="24"/>
              </w:rPr>
              <w:t>完善突发事件应急处置和救援功能，提高事件信息报送效率，智能生成应急救援建议方案，实现快速精准救援。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jc w:val="left"/>
              <w:rPr>
                <w:rFonts w:hint="eastAsia" w:ascii="仿宋" w:hAnsi="仿宋" w:eastAsia="仿宋"/>
                <w:sz w:val="30"/>
                <w:szCs w:val="30"/>
              </w:rPr>
            </w:pPr>
            <w:r>
              <w:rPr>
                <w:rFonts w:hint="eastAsia" w:ascii="仿宋" w:hAnsi="仿宋" w:eastAsia="仿宋"/>
                <w:sz w:val="30"/>
                <w:szCs w:val="30"/>
              </w:rPr>
              <w:t>3</w:t>
            </w:r>
            <w:r>
              <w:rPr>
                <w:rFonts w:ascii="仿宋" w:hAnsi="仿宋" w:eastAsia="仿宋"/>
                <w:sz w:val="30"/>
                <w:szCs w:val="30"/>
              </w:rPr>
              <w:t>.7</w:t>
            </w:r>
            <w:r>
              <w:rPr>
                <w:rFonts w:hint="eastAsia" w:ascii="仿宋" w:hAnsi="仿宋" w:eastAsia="仿宋"/>
                <w:sz w:val="30"/>
                <w:szCs w:val="30"/>
              </w:rPr>
              <w:t>封闭化管理</w:t>
            </w:r>
          </w:p>
        </w:tc>
        <w:tc>
          <w:tcPr>
            <w:tcW w:w="4708" w:type="dxa"/>
          </w:tcPr>
          <w:p>
            <w:pPr>
              <w:jc w:val="left"/>
              <w:rPr>
                <w:rFonts w:ascii="仿宋" w:hAnsi="仿宋" w:eastAsia="仿宋" w:cs="仿宋_GB2312"/>
                <w:sz w:val="24"/>
              </w:rPr>
            </w:pPr>
            <w:r>
              <w:rPr>
                <w:rFonts w:hint="eastAsia" w:ascii="仿宋" w:hAnsi="仿宋" w:eastAsia="仿宋" w:cs="仿宋_GB2312"/>
                <w:sz w:val="24"/>
              </w:rPr>
              <w:t>《关于促进化工园区规范发展的指导意见》（工信部原〔2015〕433号）</w:t>
            </w:r>
          </w:p>
          <w:p>
            <w:pPr>
              <w:jc w:val="left"/>
              <w:rPr>
                <w:rFonts w:hint="eastAsia" w:ascii="仿宋" w:hAnsi="仿宋" w:eastAsia="仿宋" w:cs="仿宋_GB2312"/>
                <w:sz w:val="24"/>
              </w:rPr>
            </w:pPr>
            <w:r>
              <w:rPr>
                <w:rFonts w:hint="eastAsia" w:ascii="仿宋" w:hAnsi="仿宋" w:eastAsia="仿宋" w:cs="仿宋_GB2312"/>
                <w:sz w:val="24"/>
              </w:rPr>
              <w:t>第十三条：实施封闭管理。鼓励大型园区或距离周边居民区较近的园区实行封闭管理。对暂时无法进行封闭管理的，应当首先对重大危险源和关键生产区域进行封闭化管理。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4708" w:type="dxa"/>
          </w:tcPr>
          <w:p>
            <w:pPr>
              <w:jc w:val="left"/>
              <w:rPr>
                <w:rFonts w:hint="eastAsia" w:ascii="仿宋" w:hAnsi="仿宋" w:eastAsia="仿宋"/>
                <w:sz w:val="30"/>
                <w:szCs w:val="30"/>
              </w:rPr>
            </w:pPr>
            <w:r>
              <w:rPr>
                <w:rFonts w:hint="eastAsia" w:ascii="仿宋" w:hAnsi="仿宋" w:eastAsia="仿宋"/>
                <w:sz w:val="30"/>
                <w:szCs w:val="30"/>
              </w:rPr>
              <w:t>3</w:t>
            </w:r>
            <w:r>
              <w:rPr>
                <w:rFonts w:ascii="仿宋" w:hAnsi="仿宋" w:eastAsia="仿宋"/>
                <w:sz w:val="30"/>
                <w:szCs w:val="30"/>
              </w:rPr>
              <w:t>.8</w:t>
            </w:r>
            <w:r>
              <w:rPr>
                <w:rFonts w:hint="eastAsia" w:ascii="仿宋" w:hAnsi="仿宋" w:eastAsia="仿宋"/>
                <w:sz w:val="30"/>
                <w:szCs w:val="30"/>
              </w:rPr>
              <w:t>数据接入</w:t>
            </w:r>
          </w:p>
        </w:tc>
        <w:tc>
          <w:tcPr>
            <w:tcW w:w="4708" w:type="dxa"/>
          </w:tcPr>
          <w:p>
            <w:pPr>
              <w:jc w:val="left"/>
              <w:rPr>
                <w:rFonts w:hint="eastAsia" w:ascii="仿宋" w:hAnsi="仿宋" w:eastAsia="仿宋" w:cs="仿宋_GB2312"/>
                <w:sz w:val="24"/>
              </w:rPr>
            </w:pPr>
            <w:r>
              <w:rPr>
                <w:rFonts w:hint="eastAsia" w:ascii="仿宋" w:hAnsi="仿宋" w:eastAsia="仿宋" w:cs="仿宋_GB2312"/>
                <w:sz w:val="24"/>
              </w:rPr>
              <w:t>浙江省应急管理“十四五”规划(征求意见稿)</w:t>
            </w:r>
          </w:p>
          <w:p>
            <w:pPr>
              <w:jc w:val="left"/>
              <w:rPr>
                <w:rFonts w:hint="eastAsia" w:ascii="仿宋" w:hAnsi="仿宋" w:eastAsia="仿宋" w:cs="仿宋_GB2312"/>
                <w:sz w:val="24"/>
              </w:rPr>
            </w:pPr>
            <w:r>
              <w:rPr>
                <w:rFonts w:hint="eastAsia" w:ascii="仿宋" w:hAnsi="仿宋" w:eastAsia="仿宋" w:cs="仿宋_GB2312"/>
                <w:sz w:val="24"/>
              </w:rPr>
              <w:t>（2）重大危险源管理。以危险化学品重大危险源安全生产风险监测预警系统为基础，结合设备设施信息数据库，拓展对安全阀、紧急切断阀、消防泵、安全仪表系统等安全设施状态实时监控；以温度、液位、压力、可燃气体浓度、有毒气体浓度、组分、流量等重大危险源重点监控参数以及视频智能分析信息和联锁投用情况、能源（水电气风热等）综合管理数据为基础，结合周边地理、气象环境条件、人口分布、历史事故信息等建立重大危险源安全风险预警模型，实现对安全风险全面监测并精准预警。除涉及国家秘密、商业秘密的项目外，企业应通过应急管理部门官网等渠道将重大危险源安全评价报告全文对外公开，接受社会监督和查询。</w:t>
            </w:r>
          </w:p>
        </w:tc>
      </w:tr>
    </w:tbl>
    <w:p>
      <w:pPr>
        <w:ind w:firstLine="420"/>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Wingdings">
    <w:panose1 w:val="05000000000000000000"/>
    <w:charset w:val="4D"/>
    <w:family w:val="decorative"/>
    <w:pitch w:val="default"/>
    <w:sig w:usb0="00000000" w:usb1="00000000" w:usb2="00000000" w:usb3="00000000" w:csb0="80000000" w:csb1="00000000"/>
  </w:font>
  <w:font w:name="方正小标宋简体">
    <w:altName w:val="微软雅黑"/>
    <w:panose1 w:val="020B0604020202020204"/>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0208C"/>
    <w:multiLevelType w:val="multilevel"/>
    <w:tmpl w:val="0B10208C"/>
    <w:lvl w:ilvl="0" w:tentative="0">
      <w:start w:val="1"/>
      <w:numFmt w:val="bullet"/>
      <w:pStyle w:val="37"/>
      <w:lvlText w:val=""/>
      <w:lvlJc w:val="left"/>
      <w:pPr>
        <w:ind w:left="0" w:firstLine="482"/>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142750AE"/>
    <w:multiLevelType w:val="multilevel"/>
    <w:tmpl w:val="142750AE"/>
    <w:lvl w:ilvl="0" w:tentative="0">
      <w:start w:val="1"/>
      <w:numFmt w:val="decimal"/>
      <w:pStyle w:val="3"/>
      <w:lvlText w:val="第%1章"/>
      <w:lvlJc w:val="left"/>
      <w:pPr>
        <w:ind w:left="573" w:hanging="432"/>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decimal"/>
      <w:pStyle w:val="4"/>
      <w:lvlText w:val="%1.%2"/>
      <w:lvlJc w:val="left"/>
      <w:pPr>
        <w:ind w:left="151" w:hanging="576"/>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pStyle w:val="5"/>
      <w:lvlText w:val="%1.%2.%3"/>
      <w:lvlJc w:val="left"/>
      <w:pPr>
        <w:ind w:left="8233" w:hanging="720"/>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
      <w:lvlText w:val="%1.%2.%3.%4"/>
      <w:lvlJc w:val="left"/>
      <w:pPr>
        <w:ind w:left="7385" w:hanging="864"/>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4" w:tentative="0">
      <w:start w:val="1"/>
      <w:numFmt w:val="decimal"/>
      <w:pStyle w:val="7"/>
      <w:lvlText w:val="%1.%2.%3.%4.%5"/>
      <w:lvlJc w:val="left"/>
      <w:pPr>
        <w:ind w:left="2567" w:hanging="1008"/>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5" w:tentative="0">
      <w:start w:val="1"/>
      <w:numFmt w:val="decimal"/>
      <w:pStyle w:val="8"/>
      <w:lvlText w:val="%1.%2.%3.%4.%5.%6"/>
      <w:lvlJc w:val="left"/>
      <w:pPr>
        <w:ind w:left="1293" w:hanging="1152"/>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6" w:tentative="0">
      <w:start w:val="1"/>
      <w:numFmt w:val="decimal"/>
      <w:pStyle w:val="9"/>
      <w:lvlText w:val="%1.%2.%3.%4.%5.%6.%7"/>
      <w:lvlJc w:val="left"/>
      <w:pPr>
        <w:ind w:left="1437" w:hanging="1296"/>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7" w:tentative="0">
      <w:start w:val="1"/>
      <w:numFmt w:val="decimal"/>
      <w:pStyle w:val="10"/>
      <w:lvlText w:val="%1.%2.%3.%4.%5.%6.%7.%8"/>
      <w:lvlJc w:val="left"/>
      <w:pPr>
        <w:ind w:left="1581" w:hanging="1440"/>
      </w:pPr>
      <w:rPr>
        <w:rFonts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8" w:tentative="0">
      <w:start w:val="1"/>
      <w:numFmt w:val="decimal"/>
      <w:pStyle w:val="11"/>
      <w:lvlText w:val="%1.%2.%3.%4.%5.%6.%7.%8.%9"/>
      <w:lvlJc w:val="left"/>
      <w:pPr>
        <w:ind w:left="1725" w:hanging="1584"/>
      </w:pPr>
      <w:rPr>
        <w:rFonts w:hint="eastAsia"/>
      </w:rPr>
    </w:lvl>
  </w:abstractNum>
  <w:abstractNum w:abstractNumId="2">
    <w:nsid w:val="168F1B19"/>
    <w:multiLevelType w:val="multilevel"/>
    <w:tmpl w:val="168F1B19"/>
    <w:lvl w:ilvl="0" w:tentative="0">
      <w:start w:val="1"/>
      <w:numFmt w:val="bullet"/>
      <w:pStyle w:val="39"/>
      <w:lvlText w:val=""/>
      <w:lvlJc w:val="left"/>
      <w:pPr>
        <w:ind w:left="0" w:firstLine="482"/>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77025B59"/>
    <w:multiLevelType w:val="multilevel"/>
    <w:tmpl w:val="77025B59"/>
    <w:lvl w:ilvl="0" w:tentative="0">
      <w:start w:val="1"/>
      <w:numFmt w:val="bullet"/>
      <w:pStyle w:val="35"/>
      <w:lvlText w:val=""/>
      <w:lvlJc w:val="left"/>
      <w:pPr>
        <w:ind w:left="900" w:hanging="420"/>
      </w:pPr>
      <w:rPr>
        <w:rFonts w:hint="default" w:ascii="Wingdings" w:hAnsi="Wingdings"/>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2A"/>
    <w:rsid w:val="004A59B1"/>
    <w:rsid w:val="005219C9"/>
    <w:rsid w:val="00580245"/>
    <w:rsid w:val="005C7ECB"/>
    <w:rsid w:val="00681A14"/>
    <w:rsid w:val="00724584"/>
    <w:rsid w:val="00747A19"/>
    <w:rsid w:val="0075480A"/>
    <w:rsid w:val="008A074A"/>
    <w:rsid w:val="009E453D"/>
    <w:rsid w:val="00BE0D2A"/>
    <w:rsid w:val="00D35D70"/>
    <w:rsid w:val="00DB4D1D"/>
    <w:rsid w:val="00F37567"/>
    <w:rsid w:val="100A186F"/>
    <w:rsid w:val="597C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widowControl/>
      <w:numPr>
        <w:ilvl w:val="0"/>
        <w:numId w:val="1"/>
      </w:numPr>
      <w:adjustRightInd w:val="0"/>
      <w:spacing w:before="240" w:after="240"/>
      <w:ind w:firstLine="0"/>
      <w:jc w:val="left"/>
      <w:textAlignment w:val="baseline"/>
      <w:outlineLvl w:val="0"/>
    </w:pPr>
    <w:rPr>
      <w:b/>
      <w:bCs/>
      <w:color w:val="000000"/>
      <w:kern w:val="0"/>
      <w:sz w:val="28"/>
      <w:szCs w:val="28"/>
      <w14:scene3d w14:prst="orthographicFront">
        <w14:lightRig w14:rig="threePt" w14:dir="t">
          <w14:rot w14:lat="0" w14:lon="0" w14:rev="0"/>
        </w14:lightRig>
      </w14:scene3d>
    </w:rPr>
  </w:style>
  <w:style w:type="paragraph" w:styleId="4">
    <w:name w:val="heading 2"/>
    <w:basedOn w:val="1"/>
    <w:next w:val="1"/>
    <w:link w:val="22"/>
    <w:qFormat/>
    <w:uiPriority w:val="0"/>
    <w:pPr>
      <w:keepNext/>
      <w:numPr>
        <w:ilvl w:val="1"/>
        <w:numId w:val="1"/>
      </w:numPr>
      <w:tabs>
        <w:tab w:val="left" w:pos="240"/>
      </w:tabs>
      <w:overflowPunct w:val="0"/>
      <w:autoSpaceDE w:val="0"/>
      <w:autoSpaceDN w:val="0"/>
      <w:adjustRightInd w:val="0"/>
      <w:spacing w:before="120" w:after="120"/>
      <w:ind w:firstLine="0"/>
      <w:outlineLvl w:val="1"/>
    </w:pPr>
    <w:rPr>
      <w:b/>
      <w:bCs/>
      <w:color w:val="000000" w:themeColor="text1"/>
      <w:sz w:val="28"/>
      <w14:textFill>
        <w14:solidFill>
          <w14:schemeClr w14:val="tx1"/>
        </w14:solidFill>
      </w14:textFill>
      <w14:scene3d w14:prst="orthographicFront">
        <w14:lightRig w14:rig="threePt" w14:dir="t">
          <w14:rot w14:lat="0" w14:lon="0" w14:rev="0"/>
        </w14:lightRig>
      </w14:scene3d>
    </w:rPr>
  </w:style>
  <w:style w:type="paragraph" w:styleId="5">
    <w:name w:val="heading 3"/>
    <w:basedOn w:val="1"/>
    <w:next w:val="1"/>
    <w:link w:val="23"/>
    <w:qFormat/>
    <w:uiPriority w:val="0"/>
    <w:pPr>
      <w:keepNext/>
      <w:widowControl/>
      <w:numPr>
        <w:ilvl w:val="2"/>
        <w:numId w:val="1"/>
      </w:numPr>
      <w:tabs>
        <w:tab w:val="left" w:pos="240"/>
      </w:tabs>
      <w:overflowPunct w:val="0"/>
      <w:autoSpaceDE w:val="0"/>
      <w:autoSpaceDN w:val="0"/>
      <w:adjustRightInd w:val="0"/>
      <w:spacing w:before="120" w:after="120"/>
      <w:ind w:firstLine="0"/>
      <w:outlineLvl w:val="2"/>
    </w:pPr>
    <w:rPr>
      <w:b/>
      <w:sz w:val="28"/>
    </w:rPr>
  </w:style>
  <w:style w:type="paragraph" w:styleId="6">
    <w:name w:val="heading 4"/>
    <w:basedOn w:val="1"/>
    <w:next w:val="1"/>
    <w:link w:val="24"/>
    <w:unhideWhenUsed/>
    <w:qFormat/>
    <w:uiPriority w:val="0"/>
    <w:pPr>
      <w:numPr>
        <w:ilvl w:val="3"/>
        <w:numId w:val="1"/>
      </w:numPr>
      <w:tabs>
        <w:tab w:val="left" w:pos="240"/>
      </w:tabs>
      <w:adjustRightInd w:val="0"/>
      <w:spacing w:before="120" w:after="120"/>
      <w:ind w:firstLine="0"/>
      <w:textAlignment w:val="baseline"/>
      <w:outlineLvl w:val="3"/>
    </w:pPr>
    <w:rPr>
      <w:b/>
      <w:sz w:val="28"/>
      <w:szCs w:val="28"/>
      <w14:scene3d w14:prst="orthographicFront">
        <w14:lightRig w14:rig="threePt" w14:dir="t">
          <w14:rot w14:lat="0" w14:lon="0" w14:rev="0"/>
        </w14:lightRig>
      </w14:scene3d>
    </w:rPr>
  </w:style>
  <w:style w:type="paragraph" w:styleId="7">
    <w:name w:val="heading 5"/>
    <w:basedOn w:val="1"/>
    <w:next w:val="1"/>
    <w:link w:val="25"/>
    <w:unhideWhenUsed/>
    <w:qFormat/>
    <w:uiPriority w:val="0"/>
    <w:pPr>
      <w:keepNext/>
      <w:keepLines/>
      <w:numPr>
        <w:ilvl w:val="4"/>
        <w:numId w:val="1"/>
      </w:numPr>
      <w:spacing w:before="120" w:after="120"/>
      <w:ind w:firstLine="0"/>
      <w:outlineLvl w:val="4"/>
    </w:pPr>
    <w:rPr>
      <w:rFonts w:hAnsi="华文仿宋"/>
      <w:b/>
      <w:bCs/>
      <w:sz w:val="28"/>
      <w:szCs w:val="40"/>
    </w:rPr>
  </w:style>
  <w:style w:type="paragraph" w:styleId="8">
    <w:name w:val="heading 6"/>
    <w:basedOn w:val="1"/>
    <w:next w:val="1"/>
    <w:link w:val="26"/>
    <w:unhideWhenUsed/>
    <w:qFormat/>
    <w:uiPriority w:val="0"/>
    <w:pPr>
      <w:keepNext/>
      <w:keepLines/>
      <w:numPr>
        <w:ilvl w:val="5"/>
        <w:numId w:val="1"/>
      </w:numPr>
      <w:tabs>
        <w:tab w:val="left" w:pos="240"/>
      </w:tabs>
      <w:spacing w:before="120" w:after="120"/>
      <w:ind w:firstLine="0"/>
      <w:outlineLvl w:val="5"/>
    </w:pPr>
    <w:rPr>
      <w:bCs/>
    </w:rPr>
  </w:style>
  <w:style w:type="paragraph" w:styleId="9">
    <w:name w:val="heading 7"/>
    <w:basedOn w:val="1"/>
    <w:next w:val="1"/>
    <w:link w:val="27"/>
    <w:unhideWhenUsed/>
    <w:qFormat/>
    <w:uiPriority w:val="0"/>
    <w:pPr>
      <w:keepNext/>
      <w:keepLines/>
      <w:numPr>
        <w:ilvl w:val="6"/>
        <w:numId w:val="1"/>
      </w:numPr>
      <w:spacing w:before="120" w:after="120"/>
      <w:ind w:firstLine="0"/>
      <w:jc w:val="left"/>
      <w:outlineLvl w:val="6"/>
    </w:pPr>
    <w:rPr>
      <w:rFonts w:ascii="仿宋_GB2312" w:hAnsi="微软雅黑" w:eastAsia="仿宋_GB2312"/>
      <w:b/>
      <w:bCs/>
    </w:rPr>
  </w:style>
  <w:style w:type="paragraph" w:styleId="10">
    <w:name w:val="heading 8"/>
    <w:basedOn w:val="1"/>
    <w:next w:val="1"/>
    <w:link w:val="28"/>
    <w:unhideWhenUsed/>
    <w:qFormat/>
    <w:uiPriority w:val="0"/>
    <w:pPr>
      <w:keepNext/>
      <w:keepLines/>
      <w:numPr>
        <w:ilvl w:val="7"/>
        <w:numId w:val="1"/>
      </w:numPr>
      <w:spacing w:before="120" w:after="120"/>
      <w:ind w:firstLine="0"/>
      <w:jc w:val="left"/>
      <w:outlineLvl w:val="7"/>
    </w:pPr>
    <w:rPr>
      <w:rFonts w:ascii="Cambria" w:hAnsi="Cambria" w:eastAsia="仿宋_GB2312"/>
    </w:rPr>
  </w:style>
  <w:style w:type="paragraph" w:styleId="11">
    <w:name w:val="heading 9"/>
    <w:basedOn w:val="1"/>
    <w:next w:val="1"/>
    <w:link w:val="29"/>
    <w:unhideWhenUsed/>
    <w:qFormat/>
    <w:uiPriority w:val="0"/>
    <w:pPr>
      <w:keepNext/>
      <w:keepLines/>
      <w:numPr>
        <w:ilvl w:val="8"/>
        <w:numId w:val="1"/>
      </w:numPr>
      <w:spacing w:before="240" w:after="64" w:line="320" w:lineRule="atLeast"/>
      <w:ind w:firstLine="0"/>
      <w:jc w:val="left"/>
      <w:outlineLvl w:val="8"/>
    </w:pPr>
    <w:rPr>
      <w:rFonts w:ascii="Cambria" w:hAnsi="Cambria" w:eastAsia="仿宋_GB2312"/>
      <w:szCs w:val="21"/>
    </w:rPr>
  </w:style>
  <w:style w:type="character" w:default="1" w:styleId="20">
    <w:name w:val="Default Paragraph Font"/>
    <w:semiHidden/>
    <w:unhideWhenUsed/>
    <w:qFormat/>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2">
    <w:name w:val="Body Text"/>
    <w:basedOn w:val="1"/>
    <w:link w:val="43"/>
    <w:uiPriority w:val="0"/>
    <w:pPr>
      <w:spacing w:after="120"/>
    </w:pPr>
  </w:style>
  <w:style w:type="paragraph" w:styleId="12">
    <w:name w:val="caption"/>
    <w:basedOn w:val="1"/>
    <w:next w:val="1"/>
    <w:unhideWhenUsed/>
    <w:qFormat/>
    <w:uiPriority w:val="0"/>
    <w:pPr>
      <w:jc w:val="center"/>
    </w:pPr>
    <w:rPr>
      <w:rFonts w:eastAsia="黑体" w:asciiTheme="majorHAnsi" w:hAnsiTheme="majorHAnsi" w:cstheme="majorBidi"/>
      <w:sz w:val="20"/>
      <w:szCs w:val="20"/>
    </w:rPr>
  </w:style>
  <w:style w:type="paragraph" w:styleId="13">
    <w:name w:val="toc 3"/>
    <w:basedOn w:val="1"/>
    <w:next w:val="1"/>
    <w:qFormat/>
    <w:uiPriority w:val="39"/>
    <w:pPr>
      <w:ind w:left="840" w:leftChars="400"/>
    </w:pPr>
    <w:rPr>
      <w:rFonts w:ascii="Calibri" w:hAnsi="Calibri"/>
    </w:rPr>
  </w:style>
  <w:style w:type="paragraph" w:styleId="14">
    <w:name w:val="footer"/>
    <w:basedOn w:val="1"/>
    <w:link w:val="41"/>
    <w:unhideWhenUsed/>
    <w:qFormat/>
    <w:uiPriority w:val="99"/>
    <w:pPr>
      <w:tabs>
        <w:tab w:val="center" w:pos="4153"/>
        <w:tab w:val="right" w:pos="8306"/>
      </w:tabs>
      <w:snapToGrid w:val="0"/>
      <w:jc w:val="left"/>
    </w:pPr>
    <w:rPr>
      <w:sz w:val="18"/>
      <w:szCs w:val="18"/>
    </w:rPr>
  </w:style>
  <w:style w:type="paragraph" w:styleId="15">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Calibri" w:hAnsi="Calibri"/>
    </w:rPr>
  </w:style>
  <w:style w:type="paragraph" w:styleId="17">
    <w:name w:val="table of figures"/>
    <w:basedOn w:val="1"/>
    <w:next w:val="1"/>
    <w:link w:val="34"/>
    <w:uiPriority w:val="99"/>
    <w:pPr>
      <w:spacing w:line="480" w:lineRule="auto"/>
      <w:ind w:left="200" w:leftChars="200"/>
    </w:pPr>
  </w:style>
  <w:style w:type="paragraph" w:styleId="18">
    <w:name w:val="toc 2"/>
    <w:basedOn w:val="1"/>
    <w:next w:val="1"/>
    <w:qFormat/>
    <w:uiPriority w:val="39"/>
    <w:pPr>
      <w:ind w:left="420" w:leftChars="200"/>
    </w:pPr>
    <w:rPr>
      <w:rFonts w:ascii="Calibri" w:hAnsi="Calibri"/>
    </w:rPr>
  </w:style>
  <w:style w:type="character" w:customStyle="1" w:styleId="21">
    <w:name w:val="标题 1 字符"/>
    <w:link w:val="3"/>
    <w:qFormat/>
    <w:uiPriority w:val="0"/>
    <w:rPr>
      <w:rFonts w:ascii="Times New Roman" w:hAnsi="Times New Roman" w:eastAsia="宋体"/>
      <w:b/>
      <w:bCs/>
      <w:color w:val="000000"/>
      <w:kern w:val="0"/>
      <w:sz w:val="28"/>
      <w:szCs w:val="28"/>
      <w14:scene3d w14:prst="orthographicFront">
        <w14:lightRig w14:rig="threePt" w14:dir="t">
          <w14:rot w14:lat="0" w14:lon="0" w14:rev="0"/>
        </w14:lightRig>
      </w14:scene3d>
    </w:rPr>
  </w:style>
  <w:style w:type="character" w:customStyle="1" w:styleId="22">
    <w:name w:val="标题 2 字符"/>
    <w:link w:val="4"/>
    <w:qFormat/>
    <w:uiPriority w:val="0"/>
    <w:rPr>
      <w:rFonts w:ascii="Times New Roman" w:hAnsi="Times New Roman" w:eastAsia="宋体"/>
      <w:b/>
      <w:bCs/>
      <w:color w:val="000000" w:themeColor="text1"/>
      <w:sz w:val="28"/>
      <w:szCs w:val="22"/>
      <w14:textFill>
        <w14:solidFill>
          <w14:schemeClr w14:val="tx1"/>
        </w14:solidFill>
      </w14:textFill>
      <w14:scene3d w14:prst="orthographicFront">
        <w14:lightRig w14:rig="threePt" w14:dir="t">
          <w14:rot w14:lat="0" w14:lon="0" w14:rev="0"/>
        </w14:lightRig>
      </w14:scene3d>
    </w:rPr>
  </w:style>
  <w:style w:type="character" w:customStyle="1" w:styleId="23">
    <w:name w:val="标题 3 字符"/>
    <w:link w:val="5"/>
    <w:qFormat/>
    <w:uiPriority w:val="0"/>
    <w:rPr>
      <w:rFonts w:ascii="Times New Roman" w:hAnsi="Times New Roman" w:eastAsia="宋体"/>
      <w:b/>
      <w:sz w:val="28"/>
      <w:szCs w:val="22"/>
    </w:rPr>
  </w:style>
  <w:style w:type="character" w:customStyle="1" w:styleId="24">
    <w:name w:val="标题 4 字符"/>
    <w:link w:val="6"/>
    <w:qFormat/>
    <w:uiPriority w:val="0"/>
    <w:rPr>
      <w:rFonts w:ascii="Times New Roman" w:hAnsi="Times New Roman" w:eastAsia="宋体"/>
      <w:b/>
      <w:sz w:val="28"/>
      <w:szCs w:val="28"/>
      <w14:scene3d w14:prst="orthographicFront">
        <w14:lightRig w14:rig="threePt" w14:dir="t">
          <w14:rot w14:lat="0" w14:lon="0" w14:rev="0"/>
        </w14:lightRig>
      </w14:scene3d>
    </w:rPr>
  </w:style>
  <w:style w:type="character" w:customStyle="1" w:styleId="25">
    <w:name w:val="标题 5 字符"/>
    <w:link w:val="7"/>
    <w:qFormat/>
    <w:uiPriority w:val="0"/>
    <w:rPr>
      <w:rFonts w:ascii="Times New Roman" w:hAnsi="华文仿宋" w:eastAsia="宋体"/>
      <w:b/>
      <w:bCs/>
      <w:sz w:val="28"/>
      <w:szCs w:val="40"/>
    </w:rPr>
  </w:style>
  <w:style w:type="character" w:customStyle="1" w:styleId="26">
    <w:name w:val="标题 6 字符"/>
    <w:link w:val="8"/>
    <w:uiPriority w:val="0"/>
    <w:rPr>
      <w:rFonts w:ascii="Times New Roman" w:hAnsi="Times New Roman" w:eastAsia="宋体"/>
      <w:bCs/>
      <w:szCs w:val="22"/>
    </w:rPr>
  </w:style>
  <w:style w:type="character" w:customStyle="1" w:styleId="27">
    <w:name w:val="标题 7 字符"/>
    <w:basedOn w:val="20"/>
    <w:link w:val="9"/>
    <w:uiPriority w:val="0"/>
    <w:rPr>
      <w:rFonts w:ascii="仿宋_GB2312" w:hAnsi="微软雅黑" w:eastAsia="仿宋_GB2312"/>
      <w:b/>
      <w:bCs/>
      <w:szCs w:val="22"/>
    </w:rPr>
  </w:style>
  <w:style w:type="character" w:customStyle="1" w:styleId="28">
    <w:name w:val="标题 8 字符"/>
    <w:basedOn w:val="20"/>
    <w:link w:val="10"/>
    <w:uiPriority w:val="0"/>
    <w:rPr>
      <w:rFonts w:ascii="Cambria" w:hAnsi="Cambria" w:eastAsia="仿宋_GB2312"/>
      <w:szCs w:val="22"/>
    </w:rPr>
  </w:style>
  <w:style w:type="character" w:customStyle="1" w:styleId="29">
    <w:name w:val="标题 9 字符"/>
    <w:basedOn w:val="20"/>
    <w:link w:val="11"/>
    <w:uiPriority w:val="0"/>
    <w:rPr>
      <w:rFonts w:ascii="Cambria" w:hAnsi="Cambria" w:eastAsia="仿宋_GB2312"/>
      <w:szCs w:val="21"/>
    </w:rPr>
  </w:style>
  <w:style w:type="paragraph" w:customStyle="1" w:styleId="30">
    <w:name w:val="表-图"/>
    <w:basedOn w:val="1"/>
    <w:link w:val="31"/>
    <w:qFormat/>
    <w:uiPriority w:val="0"/>
    <w:pPr>
      <w:jc w:val="center"/>
    </w:pPr>
    <w:rPr>
      <w:iCs/>
      <w:snapToGrid w:val="0"/>
      <w:szCs w:val="21"/>
    </w:rPr>
  </w:style>
  <w:style w:type="character" w:customStyle="1" w:styleId="31">
    <w:name w:val="表-图 Char"/>
    <w:link w:val="30"/>
    <w:qFormat/>
    <w:uiPriority w:val="0"/>
    <w:rPr>
      <w:rFonts w:ascii="Times New Roman" w:hAnsi="Times New Roman" w:eastAsia="宋体"/>
      <w:iCs/>
      <w:snapToGrid w:val="0"/>
      <w:szCs w:val="21"/>
    </w:rPr>
  </w:style>
  <w:style w:type="paragraph" w:customStyle="1" w:styleId="32">
    <w:name w:val="表格正文"/>
    <w:basedOn w:val="1"/>
    <w:link w:val="33"/>
    <w:qFormat/>
    <w:uiPriority w:val="0"/>
    <w:rPr>
      <w:rFonts w:ascii="Calibri" w:hAnsi="Calibri"/>
      <w:sz w:val="20"/>
      <w:lang w:val="zh-CN"/>
    </w:rPr>
  </w:style>
  <w:style w:type="character" w:customStyle="1" w:styleId="33">
    <w:name w:val="表格正文 Char"/>
    <w:link w:val="32"/>
    <w:uiPriority w:val="0"/>
    <w:rPr>
      <w:rFonts w:ascii="Calibri" w:hAnsi="Calibri" w:eastAsia="宋体"/>
      <w:sz w:val="20"/>
      <w:szCs w:val="22"/>
      <w:lang w:val="zh-CN"/>
    </w:rPr>
  </w:style>
  <w:style w:type="character" w:customStyle="1" w:styleId="34">
    <w:name w:val="图表目录 字符"/>
    <w:basedOn w:val="20"/>
    <w:link w:val="17"/>
    <w:uiPriority w:val="99"/>
    <w:rPr>
      <w:rFonts w:ascii="Times New Roman" w:hAnsi="Times New Roman" w:eastAsia="宋体"/>
      <w:szCs w:val="22"/>
    </w:rPr>
  </w:style>
  <w:style w:type="paragraph" w:customStyle="1" w:styleId="35">
    <w:name w:val="小标题3级"/>
    <w:basedOn w:val="1"/>
    <w:link w:val="36"/>
    <w:qFormat/>
    <w:uiPriority w:val="0"/>
    <w:pPr>
      <w:numPr>
        <w:ilvl w:val="0"/>
        <w:numId w:val="2"/>
      </w:numPr>
      <w:tabs>
        <w:tab w:val="left" w:pos="240"/>
      </w:tabs>
      <w:ind w:firstLine="0"/>
    </w:pPr>
    <w:rPr>
      <w:bCs/>
    </w:rPr>
  </w:style>
  <w:style w:type="character" w:customStyle="1" w:styleId="36">
    <w:name w:val="小标题3级 Char"/>
    <w:basedOn w:val="20"/>
    <w:link w:val="35"/>
    <w:qFormat/>
    <w:uiPriority w:val="0"/>
    <w:rPr>
      <w:rFonts w:ascii="Times New Roman" w:hAnsi="Times New Roman" w:eastAsia="宋体"/>
      <w:bCs/>
      <w:szCs w:val="22"/>
    </w:rPr>
  </w:style>
  <w:style w:type="paragraph" w:customStyle="1" w:styleId="37">
    <w:name w:val="小标题4级"/>
    <w:basedOn w:val="1"/>
    <w:link w:val="38"/>
    <w:qFormat/>
    <w:uiPriority w:val="0"/>
    <w:pPr>
      <w:numPr>
        <w:ilvl w:val="0"/>
        <w:numId w:val="3"/>
      </w:numPr>
      <w:tabs>
        <w:tab w:val="left" w:pos="240"/>
      </w:tabs>
      <w:ind w:firstLine="0"/>
    </w:pPr>
  </w:style>
  <w:style w:type="character" w:customStyle="1" w:styleId="38">
    <w:name w:val="小标题4级 字符"/>
    <w:basedOn w:val="20"/>
    <w:link w:val="37"/>
    <w:qFormat/>
    <w:uiPriority w:val="0"/>
    <w:rPr>
      <w:rFonts w:ascii="Times New Roman" w:hAnsi="Times New Roman" w:eastAsia="宋体"/>
      <w:szCs w:val="22"/>
    </w:rPr>
  </w:style>
  <w:style w:type="paragraph" w:customStyle="1" w:styleId="39">
    <w:name w:val="小标题5级"/>
    <w:basedOn w:val="1"/>
    <w:link w:val="40"/>
    <w:qFormat/>
    <w:uiPriority w:val="0"/>
    <w:pPr>
      <w:numPr>
        <w:ilvl w:val="0"/>
        <w:numId w:val="4"/>
      </w:numPr>
      <w:ind w:firstLine="0"/>
    </w:pPr>
    <w:rPr>
      <w:color w:val="000000"/>
    </w:rPr>
  </w:style>
  <w:style w:type="character" w:customStyle="1" w:styleId="40">
    <w:name w:val="小标题5级 字符"/>
    <w:basedOn w:val="20"/>
    <w:link w:val="39"/>
    <w:uiPriority w:val="0"/>
    <w:rPr>
      <w:rFonts w:ascii="Times New Roman" w:hAnsi="Times New Roman" w:eastAsia="宋体"/>
      <w:color w:val="000000"/>
      <w:szCs w:val="22"/>
    </w:rPr>
  </w:style>
  <w:style w:type="character" w:customStyle="1" w:styleId="41">
    <w:name w:val="页脚 字符"/>
    <w:basedOn w:val="20"/>
    <w:link w:val="14"/>
    <w:qFormat/>
    <w:uiPriority w:val="99"/>
    <w:rPr>
      <w:rFonts w:ascii="Times New Roman" w:hAnsi="Times New Roman" w:eastAsia="宋体"/>
      <w:sz w:val="18"/>
      <w:szCs w:val="18"/>
    </w:rPr>
  </w:style>
  <w:style w:type="character" w:customStyle="1" w:styleId="42">
    <w:name w:val="页眉 字符"/>
    <w:basedOn w:val="20"/>
    <w:link w:val="15"/>
    <w:qFormat/>
    <w:uiPriority w:val="99"/>
    <w:rPr>
      <w:rFonts w:ascii="Times New Roman" w:hAnsi="Times New Roman" w:eastAsia="宋体"/>
      <w:sz w:val="18"/>
      <w:szCs w:val="18"/>
    </w:rPr>
  </w:style>
  <w:style w:type="character" w:customStyle="1" w:styleId="43">
    <w:name w:val="正文文本 字符"/>
    <w:basedOn w:val="20"/>
    <w:link w:val="2"/>
    <w:uiPriority w:val="0"/>
    <w:rPr>
      <w:rFonts w:ascii="Times New Roman" w:hAnsi="Times New Roman" w:eastAsia="宋体" w:cs="Times New Roman"/>
    </w:rPr>
  </w:style>
  <w:style w:type="paragraph" w:customStyle="1" w:styleId="4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366</Words>
  <Characters>2088</Characters>
  <Lines>17</Lines>
  <Paragraphs>4</Paragraphs>
  <TotalTime>2</TotalTime>
  <ScaleCrop>false</ScaleCrop>
  <LinksUpToDate>false</LinksUpToDate>
  <CharactersWithSpaces>2450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2021-08-25T07:44:00Z</dcterms:created>
  <dc:creator>1995</dc:creator>
  <cp:lastModifiedBy>曹冲</cp:lastModifiedBy>
  <dcterms:modified xsi:type="dcterms:W3CDTF">2021-08-26T04:13:19Z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2143D43C5D134BF89EEE4D2C364ED9C9</vt:lpwstr>
  </property>
</Properties>
</file>